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9E2F84" w14:textId="75CD1B97" w:rsidR="008958D6" w:rsidRDefault="000F2D94" w:rsidP="000F2D94">
      <w:pPr>
        <w:tabs>
          <w:tab w:val="left" w:pos="2265"/>
        </w:tabs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046E38" wp14:editId="78CF3F2B">
            <wp:simplePos x="0" y="0"/>
            <wp:positionH relativeFrom="column">
              <wp:posOffset>5152030</wp:posOffset>
            </wp:positionH>
            <wp:positionV relativeFrom="paragraph">
              <wp:posOffset>-255327</wp:posOffset>
            </wp:positionV>
            <wp:extent cx="707795" cy="947961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eamSax Website QR Code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0602" cy="951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</w:p>
    <w:p w14:paraId="12919015" w14:textId="64A447B4" w:rsidR="005A0209" w:rsidRPr="00BD74B9" w:rsidRDefault="005A0209" w:rsidP="00BD74B9">
      <w:pPr>
        <w:jc w:val="center"/>
        <w:rPr>
          <w:sz w:val="32"/>
          <w:u w:val="double"/>
        </w:rPr>
      </w:pPr>
      <w:r w:rsidRPr="00BD74B9">
        <w:rPr>
          <w:sz w:val="32"/>
          <w:u w:val="double"/>
        </w:rPr>
        <w:t>Instructions</w:t>
      </w:r>
    </w:p>
    <w:p w14:paraId="755120C9" w14:textId="6AFE14D0" w:rsidR="00BD74B9" w:rsidRPr="00BD74B9" w:rsidRDefault="00BD74B9" w:rsidP="00BD74B9">
      <w:pPr>
        <w:ind w:left="360"/>
        <w:rPr>
          <w:b/>
        </w:rPr>
      </w:pPr>
      <w:r w:rsidRPr="00BD74B9">
        <w:rPr>
          <w:b/>
        </w:rPr>
        <w:t>Filling</w:t>
      </w:r>
    </w:p>
    <w:p w14:paraId="4463B0D6" w14:textId="6425409F" w:rsidR="00B01F17" w:rsidRDefault="00B01F17" w:rsidP="005A0209">
      <w:pPr>
        <w:pStyle w:val="ListParagraph"/>
        <w:numPr>
          <w:ilvl w:val="0"/>
          <w:numId w:val="1"/>
        </w:numPr>
      </w:pPr>
      <w:r>
        <w:t>Check to see that the lawn surface is free from sharp debris or tools before positioning the SEAMSAX</w:t>
      </w:r>
      <w:r w:rsidRPr="005A0209">
        <w:rPr>
          <w:vertAlign w:val="superscript"/>
        </w:rPr>
        <w:t>TM</w:t>
      </w:r>
      <w:r>
        <w:rPr>
          <w:vertAlign w:val="superscript"/>
        </w:rPr>
        <w:t xml:space="preserve"> </w:t>
      </w:r>
      <w:r>
        <w:t>water sack</w:t>
      </w:r>
      <w:r w:rsidR="001B76A1">
        <w:t xml:space="preserve"> along the seams</w:t>
      </w:r>
      <w:r>
        <w:t>.</w:t>
      </w:r>
    </w:p>
    <w:p w14:paraId="3F83D849" w14:textId="63EA8DDD" w:rsidR="005A0209" w:rsidRDefault="005A0209" w:rsidP="005A0209">
      <w:pPr>
        <w:pStyle w:val="ListParagraph"/>
        <w:numPr>
          <w:ilvl w:val="0"/>
          <w:numId w:val="1"/>
        </w:numPr>
      </w:pPr>
      <w:r>
        <w:t xml:space="preserve">Unroll the </w:t>
      </w:r>
      <w:r w:rsidR="00B01F17">
        <w:t xml:space="preserve">water </w:t>
      </w:r>
      <w:r>
        <w:t xml:space="preserve">sack along the center line of the seam </w:t>
      </w:r>
      <w:r w:rsidR="00B01F17">
        <w:t xml:space="preserve">that </w:t>
      </w:r>
      <w:r>
        <w:t>requir</w:t>
      </w:r>
      <w:r w:rsidR="00B01F17">
        <w:t>es</w:t>
      </w:r>
      <w:r>
        <w:t xml:space="preserve"> pressure (ensure </w:t>
      </w:r>
      <w:r w:rsidR="00B01F17">
        <w:t xml:space="preserve">that </w:t>
      </w:r>
      <w:r>
        <w:t xml:space="preserve">you have enough length to adequately </w:t>
      </w:r>
      <w:r w:rsidR="00BD74B9">
        <w:t>cover the entire seam</w:t>
      </w:r>
      <w:r>
        <w:t>)</w:t>
      </w:r>
      <w:r w:rsidR="00BD74B9">
        <w:t>.</w:t>
      </w:r>
    </w:p>
    <w:p w14:paraId="400D3A7E" w14:textId="79D5FAD1" w:rsidR="005A0209" w:rsidRPr="003339CF" w:rsidRDefault="005A0209" w:rsidP="005A0209">
      <w:pPr>
        <w:pStyle w:val="ListParagraph"/>
        <w:numPr>
          <w:ilvl w:val="0"/>
          <w:numId w:val="1"/>
        </w:numPr>
      </w:pPr>
      <w:r>
        <w:t xml:space="preserve">Once the water sack is in the desired position, connect a garden hose to one end of the sack using the connectors provided. Ensure that the valve on the other end of the sack is tightly </w:t>
      </w:r>
      <w:r w:rsidRPr="003339CF">
        <w:t xml:space="preserve">fastened and in the </w:t>
      </w:r>
      <w:r w:rsidR="00B01F17" w:rsidRPr="003339CF">
        <w:t>‘</w:t>
      </w:r>
      <w:r w:rsidRPr="003339CF">
        <w:t>closed</w:t>
      </w:r>
      <w:r w:rsidR="00B01F17" w:rsidRPr="003339CF">
        <w:t>’</w:t>
      </w:r>
      <w:r w:rsidRPr="003339CF">
        <w:t xml:space="preserve"> position.</w:t>
      </w:r>
    </w:p>
    <w:p w14:paraId="5689C2AC" w14:textId="081B5918" w:rsidR="005A0209" w:rsidRPr="003339CF" w:rsidRDefault="005A0209" w:rsidP="005A0209">
      <w:pPr>
        <w:pStyle w:val="ListParagraph"/>
        <w:numPr>
          <w:ilvl w:val="0"/>
          <w:numId w:val="1"/>
        </w:numPr>
      </w:pPr>
      <w:r w:rsidRPr="003339CF">
        <w:t xml:space="preserve">Fill the sack to capacity using normal garden hose </w:t>
      </w:r>
      <w:r w:rsidR="00B01F17" w:rsidRPr="003339CF">
        <w:t xml:space="preserve">water </w:t>
      </w:r>
      <w:r w:rsidRPr="003339CF">
        <w:t>pressure (do not fill sack using pumps or other equipment designed to create water pressure in excess of 80 psi.).</w:t>
      </w:r>
    </w:p>
    <w:p w14:paraId="32ABD8AF" w14:textId="3299AACD" w:rsidR="00723CD3" w:rsidRPr="003339CF" w:rsidRDefault="00F712EE" w:rsidP="00723CD3">
      <w:pPr>
        <w:pStyle w:val="ListParagraph"/>
        <w:numPr>
          <w:ilvl w:val="0"/>
          <w:numId w:val="1"/>
        </w:numPr>
      </w:pPr>
      <w:r w:rsidRPr="003339CF">
        <w:t>F</w:t>
      </w:r>
      <w:r w:rsidR="00CA6305" w:rsidRPr="003339CF">
        <w:t>ill</w:t>
      </w:r>
      <w:r w:rsidR="00723CD3" w:rsidRPr="003339CF">
        <w:t xml:space="preserve"> the</w:t>
      </w:r>
      <w:r w:rsidRPr="003339CF">
        <w:t xml:space="preserve"> sack until it has swollen to</w:t>
      </w:r>
      <w:r w:rsidR="00723CD3" w:rsidRPr="003339CF">
        <w:t xml:space="preserve"> between 5 and 7 inches in height</w:t>
      </w:r>
      <w:r w:rsidR="00CA6305" w:rsidRPr="003339CF">
        <w:t xml:space="preserve">, </w:t>
      </w:r>
      <w:r w:rsidRPr="003339CF">
        <w:t>then use</w:t>
      </w:r>
      <w:r w:rsidR="00CA6305" w:rsidRPr="003339CF">
        <w:t xml:space="preserve"> the lever to close the valve before </w:t>
      </w:r>
      <w:r w:rsidR="00C85844" w:rsidRPr="003339CF">
        <w:t>disconnecting</w:t>
      </w:r>
      <w:r w:rsidR="00CA6305" w:rsidRPr="003339CF">
        <w:t xml:space="preserve"> the garden hose.</w:t>
      </w:r>
      <w:r w:rsidR="005A0209" w:rsidRPr="003339CF">
        <w:t xml:space="preserve"> </w:t>
      </w:r>
    </w:p>
    <w:p w14:paraId="44FBBCF7" w14:textId="545C09E7" w:rsidR="00A85DAD" w:rsidRPr="00723CD3" w:rsidRDefault="00A85DAD" w:rsidP="005A0209">
      <w:pPr>
        <w:pStyle w:val="ListParagraph"/>
        <w:numPr>
          <w:ilvl w:val="0"/>
          <w:numId w:val="1"/>
        </w:numPr>
      </w:pPr>
      <w:r w:rsidRPr="003339CF">
        <w:t xml:space="preserve">For further information, </w:t>
      </w:r>
      <w:r w:rsidR="00723CD3" w:rsidRPr="003339CF">
        <w:t xml:space="preserve">please </w:t>
      </w:r>
      <w:r w:rsidRPr="003339CF">
        <w:t xml:space="preserve">visit </w:t>
      </w:r>
      <w:hyperlink r:id="rId8" w:history="1">
        <w:r w:rsidRPr="001B76A1">
          <w:rPr>
            <w:rStyle w:val="Hyperlink"/>
            <w:color w:val="auto"/>
            <w:u w:val="none"/>
          </w:rPr>
          <w:t>www.seamsax.com</w:t>
        </w:r>
      </w:hyperlink>
      <w:r w:rsidRPr="003339CF">
        <w:t xml:space="preserve"> or scan </w:t>
      </w:r>
      <w:r w:rsidR="00F712EE" w:rsidRPr="003339CF">
        <w:t xml:space="preserve">the </w:t>
      </w:r>
      <w:r w:rsidRPr="003339CF">
        <w:t>QR code</w:t>
      </w:r>
      <w:r w:rsidR="00723CD3" w:rsidRPr="003339CF">
        <w:t xml:space="preserve"> </w:t>
      </w:r>
      <w:r w:rsidR="000F2D94" w:rsidRPr="003339CF">
        <w:t>provided above</w:t>
      </w:r>
      <w:r w:rsidR="00723CD3" w:rsidRPr="00723CD3">
        <w:t>.</w:t>
      </w:r>
    </w:p>
    <w:p w14:paraId="012494EA" w14:textId="2C3FF860" w:rsidR="00345EB3" w:rsidRDefault="00723CD3" w:rsidP="00345EB3">
      <w:pPr>
        <w:pStyle w:val="ListParagraph"/>
      </w:pPr>
      <w:r>
        <w:rPr>
          <w:color w:val="FF0000"/>
        </w:rPr>
        <w:t xml:space="preserve"> </w:t>
      </w:r>
    </w:p>
    <w:p w14:paraId="19CE821C" w14:textId="482E8A11" w:rsidR="00BD74B9" w:rsidRPr="00BD74B9" w:rsidRDefault="00BD74B9" w:rsidP="00BD74B9">
      <w:pPr>
        <w:ind w:left="360"/>
        <w:rPr>
          <w:b/>
        </w:rPr>
      </w:pPr>
      <w:r w:rsidRPr="00BD74B9">
        <w:rPr>
          <w:b/>
        </w:rPr>
        <w:t>Draining</w:t>
      </w:r>
    </w:p>
    <w:p w14:paraId="22622A24" w14:textId="02CB5470" w:rsidR="00BD74B9" w:rsidRPr="003339CF" w:rsidRDefault="00BD74B9" w:rsidP="00BD74B9">
      <w:pPr>
        <w:pStyle w:val="ListParagraph"/>
        <w:numPr>
          <w:ilvl w:val="0"/>
          <w:numId w:val="2"/>
        </w:numPr>
      </w:pPr>
      <w:r w:rsidRPr="003339CF">
        <w:t>Connect the 1” drainage hose</w:t>
      </w:r>
      <w:r w:rsidR="00DF499F">
        <w:t xml:space="preserve"> provided</w:t>
      </w:r>
      <w:r w:rsidRPr="003339CF">
        <w:t xml:space="preserve"> to the valve at the lowest end of the sack.</w:t>
      </w:r>
    </w:p>
    <w:p w14:paraId="2AF762DF" w14:textId="0592F582" w:rsidR="00BD74B9" w:rsidRPr="003339CF" w:rsidRDefault="00BD74B9" w:rsidP="00BD74B9">
      <w:pPr>
        <w:pStyle w:val="ListParagraph"/>
        <w:numPr>
          <w:ilvl w:val="0"/>
          <w:numId w:val="2"/>
        </w:numPr>
      </w:pPr>
      <w:r w:rsidRPr="003339CF">
        <w:t>Direct the hose towards a suitable run-off area.</w:t>
      </w:r>
    </w:p>
    <w:p w14:paraId="6F98DCE6" w14:textId="77777777" w:rsidR="00BD74B9" w:rsidRPr="003339CF" w:rsidRDefault="00BD74B9" w:rsidP="00BD74B9">
      <w:pPr>
        <w:pStyle w:val="ListParagraph"/>
        <w:numPr>
          <w:ilvl w:val="0"/>
          <w:numId w:val="2"/>
        </w:numPr>
      </w:pPr>
      <w:r w:rsidRPr="003339CF">
        <w:t xml:space="preserve">Open the valve to release the water. </w:t>
      </w:r>
    </w:p>
    <w:p w14:paraId="2E37A5EE" w14:textId="4C081096" w:rsidR="00E55B9B" w:rsidRPr="003339CF" w:rsidRDefault="00723CD3" w:rsidP="00BD74B9">
      <w:pPr>
        <w:pStyle w:val="ListParagraph"/>
        <w:numPr>
          <w:ilvl w:val="0"/>
          <w:numId w:val="2"/>
        </w:numPr>
      </w:pPr>
      <w:r w:rsidRPr="003339CF">
        <w:t>Begin rolling up</w:t>
      </w:r>
      <w:r w:rsidR="00E55B9B" w:rsidRPr="003339CF">
        <w:t xml:space="preserve"> the sack to</w:t>
      </w:r>
      <w:r w:rsidRPr="003339CF">
        <w:t xml:space="preserve"> help</w:t>
      </w:r>
      <w:r w:rsidR="00E55B9B" w:rsidRPr="003339CF">
        <w:t xml:space="preserve"> expel the water.</w:t>
      </w:r>
    </w:p>
    <w:p w14:paraId="565F663B" w14:textId="73C110C1" w:rsidR="00B01F17" w:rsidRPr="003339CF" w:rsidRDefault="00723CD3" w:rsidP="00BD74B9">
      <w:pPr>
        <w:pStyle w:val="ListParagraph"/>
        <w:numPr>
          <w:ilvl w:val="0"/>
          <w:numId w:val="2"/>
        </w:numPr>
      </w:pPr>
      <w:r w:rsidRPr="003339CF">
        <w:t>Once</w:t>
      </w:r>
      <w:r w:rsidR="00BD74B9" w:rsidRPr="003339CF">
        <w:t xml:space="preserve"> the sack is empty, </w:t>
      </w:r>
      <w:r w:rsidR="00DF499F">
        <w:t>be sure to</w:t>
      </w:r>
      <w:r w:rsidRPr="003339CF">
        <w:t xml:space="preserve"> roll it up completely</w:t>
      </w:r>
      <w:r w:rsidR="00B01F17" w:rsidRPr="003339CF">
        <w:t xml:space="preserve"> before moving it to the next location.</w:t>
      </w:r>
    </w:p>
    <w:p w14:paraId="3D92D0F8" w14:textId="7990ADAF" w:rsidR="00E55B9B" w:rsidRPr="00345EB3" w:rsidRDefault="00E55B9B" w:rsidP="00E55B9B">
      <w:pPr>
        <w:pStyle w:val="ListParagraph"/>
        <w:numPr>
          <w:ilvl w:val="0"/>
          <w:numId w:val="2"/>
        </w:numPr>
      </w:pPr>
      <w:r w:rsidRPr="003339CF">
        <w:t xml:space="preserve">For further information, </w:t>
      </w:r>
      <w:r w:rsidR="00723CD3" w:rsidRPr="003339CF">
        <w:t xml:space="preserve">please </w:t>
      </w:r>
      <w:r w:rsidRPr="003339CF">
        <w:t xml:space="preserve">visit </w:t>
      </w:r>
      <w:hyperlink r:id="rId9" w:history="1">
        <w:r w:rsidRPr="001B76A1">
          <w:rPr>
            <w:rStyle w:val="Hyperlink"/>
            <w:color w:val="auto"/>
            <w:u w:val="none"/>
          </w:rPr>
          <w:t>www.seamsax.com</w:t>
        </w:r>
      </w:hyperlink>
      <w:r w:rsidRPr="001B76A1">
        <w:t xml:space="preserve"> </w:t>
      </w:r>
      <w:r w:rsidRPr="003339CF">
        <w:t xml:space="preserve">or scan </w:t>
      </w:r>
      <w:r w:rsidR="00F712EE" w:rsidRPr="003339CF">
        <w:t xml:space="preserve">the </w:t>
      </w:r>
      <w:r w:rsidRPr="003339CF">
        <w:t xml:space="preserve">QR </w:t>
      </w:r>
      <w:r w:rsidR="000F2D94" w:rsidRPr="003339CF">
        <w:t>code provided above</w:t>
      </w:r>
      <w:r w:rsidR="00723CD3">
        <w:rPr>
          <w:color w:val="FF0000"/>
        </w:rPr>
        <w:t>.</w:t>
      </w:r>
    </w:p>
    <w:p w14:paraId="5E8CF1D0" w14:textId="65A7FEC1" w:rsidR="00345EB3" w:rsidRDefault="00345EB3" w:rsidP="00723CD3"/>
    <w:p w14:paraId="0231C097" w14:textId="77777777" w:rsidR="00BD74B9" w:rsidRPr="005B1A44" w:rsidRDefault="00B01F17" w:rsidP="00B01F17">
      <w:pPr>
        <w:jc w:val="center"/>
        <w:rPr>
          <w:sz w:val="32"/>
          <w:u w:val="double"/>
        </w:rPr>
      </w:pPr>
      <w:r w:rsidRPr="005B1A44">
        <w:rPr>
          <w:sz w:val="32"/>
          <w:u w:val="double"/>
        </w:rPr>
        <w:t>Attention</w:t>
      </w:r>
    </w:p>
    <w:p w14:paraId="49B61515" w14:textId="77777777" w:rsidR="00B01F17" w:rsidRDefault="00B01F17" w:rsidP="00B01F17">
      <w:pPr>
        <w:pStyle w:val="ListParagraph"/>
        <w:numPr>
          <w:ilvl w:val="0"/>
          <w:numId w:val="3"/>
        </w:numPr>
      </w:pPr>
      <w:r>
        <w:t>The SEAMSAX</w:t>
      </w:r>
      <w:r w:rsidRPr="005A0209">
        <w:rPr>
          <w:vertAlign w:val="superscript"/>
        </w:rPr>
        <w:t>TM</w:t>
      </w:r>
      <w:r>
        <w:rPr>
          <w:vertAlign w:val="superscript"/>
        </w:rPr>
        <w:t xml:space="preserve"> </w:t>
      </w:r>
      <w:r>
        <w:t>water sacks are designed for use on artificial lawns.</w:t>
      </w:r>
    </w:p>
    <w:p w14:paraId="69539142" w14:textId="77777777" w:rsidR="00C85844" w:rsidRDefault="00C85844" w:rsidP="00B01F17">
      <w:pPr>
        <w:pStyle w:val="ListParagraph"/>
        <w:numPr>
          <w:ilvl w:val="0"/>
          <w:numId w:val="3"/>
        </w:numPr>
      </w:pPr>
      <w:r>
        <w:t>Check the area for sharp objects before positioning the sacks.</w:t>
      </w:r>
    </w:p>
    <w:p w14:paraId="45F87E86" w14:textId="77777777" w:rsidR="00B01F17" w:rsidRPr="003339CF" w:rsidRDefault="00B01F17" w:rsidP="00B01F17">
      <w:pPr>
        <w:pStyle w:val="ListParagraph"/>
        <w:numPr>
          <w:ilvl w:val="0"/>
          <w:numId w:val="3"/>
        </w:numPr>
      </w:pPr>
      <w:r w:rsidRPr="003339CF">
        <w:t>Do not drag the sacks across gravel or any other rough terrain or surfaces.</w:t>
      </w:r>
    </w:p>
    <w:p w14:paraId="691AA395" w14:textId="77777777" w:rsidR="00B01F17" w:rsidRPr="003339CF" w:rsidRDefault="00B01F17" w:rsidP="00B01F17">
      <w:pPr>
        <w:pStyle w:val="ListParagraph"/>
        <w:numPr>
          <w:ilvl w:val="0"/>
          <w:numId w:val="3"/>
        </w:numPr>
      </w:pPr>
      <w:r w:rsidRPr="003339CF">
        <w:t>Do not attempt to move the sacks when filled or partially filled with water.</w:t>
      </w:r>
    </w:p>
    <w:p w14:paraId="3E028137" w14:textId="77777777" w:rsidR="00B01F17" w:rsidRPr="003339CF" w:rsidRDefault="00B01F17" w:rsidP="00B01F17">
      <w:pPr>
        <w:pStyle w:val="ListParagraph"/>
        <w:numPr>
          <w:ilvl w:val="0"/>
          <w:numId w:val="3"/>
        </w:numPr>
      </w:pPr>
      <w:r w:rsidRPr="003339CF">
        <w:t xml:space="preserve">Do not fill </w:t>
      </w:r>
      <w:r w:rsidR="005B1A44" w:rsidRPr="003339CF">
        <w:t xml:space="preserve">the </w:t>
      </w:r>
      <w:r w:rsidRPr="003339CF">
        <w:t>sack</w:t>
      </w:r>
      <w:r w:rsidR="005B1A44" w:rsidRPr="003339CF">
        <w:t>s</w:t>
      </w:r>
      <w:r w:rsidRPr="003339CF">
        <w:t xml:space="preserve"> using water pressure that exceeds 80 psi.</w:t>
      </w:r>
    </w:p>
    <w:p w14:paraId="19841A44" w14:textId="17A24505" w:rsidR="00A85DAD" w:rsidRPr="003339CF" w:rsidRDefault="00A85DAD" w:rsidP="00B01F17">
      <w:pPr>
        <w:pStyle w:val="ListParagraph"/>
        <w:numPr>
          <w:ilvl w:val="0"/>
          <w:numId w:val="3"/>
        </w:numPr>
      </w:pPr>
      <w:r w:rsidRPr="003339CF">
        <w:t xml:space="preserve">Do not fill sack </w:t>
      </w:r>
      <w:r w:rsidR="000F2D94" w:rsidRPr="003339CF">
        <w:t xml:space="preserve">so that it swells </w:t>
      </w:r>
      <w:r w:rsidR="00F712EE" w:rsidRPr="003339CF">
        <w:t>beyon</w:t>
      </w:r>
      <w:r w:rsidR="003339CF" w:rsidRPr="003339CF">
        <w:t>d</w:t>
      </w:r>
      <w:r w:rsidRPr="003339CF">
        <w:t xml:space="preserve"> 7</w:t>
      </w:r>
      <w:r w:rsidR="000F2D94" w:rsidRPr="003339CF">
        <w:t xml:space="preserve"> inches</w:t>
      </w:r>
      <w:r w:rsidRPr="003339CF">
        <w:t xml:space="preserve"> in height</w:t>
      </w:r>
      <w:r w:rsidR="000F2D94" w:rsidRPr="003339CF">
        <w:t>.</w:t>
      </w:r>
    </w:p>
    <w:p w14:paraId="5CFADC5F" w14:textId="4EF8C661" w:rsidR="00BD74B9" w:rsidRDefault="00F712EE" w:rsidP="00336C33">
      <w:pPr>
        <w:pStyle w:val="ListParagraph"/>
        <w:numPr>
          <w:ilvl w:val="0"/>
          <w:numId w:val="3"/>
        </w:numPr>
      </w:pPr>
      <w:r w:rsidRPr="003339CF">
        <w:t>The sacks should be left on the</w:t>
      </w:r>
      <w:r w:rsidR="000F2D94" w:rsidRPr="003339CF">
        <w:t xml:space="preserve"> turf seams</w:t>
      </w:r>
      <w:r w:rsidRPr="003339CF">
        <w:t xml:space="preserve"> for the </w:t>
      </w:r>
      <w:r w:rsidR="003339CF" w:rsidRPr="003339CF">
        <w:t xml:space="preserve">full duration of </w:t>
      </w:r>
      <w:r w:rsidRPr="003339CF">
        <w:t xml:space="preserve">time </w:t>
      </w:r>
      <w:r w:rsidR="003339CF">
        <w:t>recommended</w:t>
      </w:r>
      <w:r w:rsidRPr="003339CF">
        <w:t xml:space="preserve"> by the glue manufacturer.</w:t>
      </w:r>
      <w:bookmarkStart w:id="0" w:name="_GoBack"/>
      <w:bookmarkEnd w:id="0"/>
    </w:p>
    <w:sectPr w:rsidR="00BD74B9">
      <w:headerReference w:type="default" r:id="rId10"/>
      <w:footerReference w:type="default" r:id="rId11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59267E4" w14:textId="77777777" w:rsidR="00924452" w:rsidRDefault="00924452" w:rsidP="00723CD3">
      <w:pPr>
        <w:spacing w:after="0" w:line="240" w:lineRule="auto"/>
      </w:pPr>
      <w:r>
        <w:separator/>
      </w:r>
    </w:p>
  </w:endnote>
  <w:endnote w:type="continuationSeparator" w:id="0">
    <w:p w14:paraId="034416A5" w14:textId="77777777" w:rsidR="00924452" w:rsidRDefault="00924452" w:rsidP="00723C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144132" w14:textId="77777777" w:rsidR="000F2D94" w:rsidRDefault="000F2D94" w:rsidP="000F2D94">
    <w:pPr>
      <w:jc w:val="center"/>
    </w:pPr>
    <w:r w:rsidRPr="005C2B97">
      <w:rPr>
        <w:noProof/>
      </w:rPr>
      <w:drawing>
        <wp:inline distT="0" distB="0" distL="0" distR="0" wp14:anchorId="1E76B584" wp14:editId="4B1E4186">
          <wp:extent cx="1087820" cy="187017"/>
          <wp:effectExtent l="0" t="0" r="0" b="3810"/>
          <wp:docPr id="21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58142" cy="26787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B15C473" w14:textId="77777777" w:rsidR="000F2D94" w:rsidRPr="0043224F" w:rsidRDefault="000F2D94" w:rsidP="000F2D94">
    <w:pPr>
      <w:spacing w:after="0" w:line="240" w:lineRule="auto"/>
      <w:jc w:val="center"/>
      <w:rPr>
        <w:rFonts w:ascii="Calibri" w:eastAsia="Times New Roman" w:hAnsi="Calibri" w:cs="Calibri"/>
      </w:rPr>
    </w:pPr>
    <w:r>
      <w:rPr>
        <w:rFonts w:ascii="Calibri" w:eastAsia="Times New Roman" w:hAnsi="Calibri" w:cs="Calibri"/>
        <w:color w:val="000000"/>
        <w:sz w:val="24"/>
        <w:szCs w:val="24"/>
      </w:rPr>
      <w:t xml:space="preserve">Tel. </w:t>
    </w:r>
    <w:r w:rsidRPr="0043224F">
      <w:rPr>
        <w:rFonts w:ascii="Calibri" w:eastAsia="Times New Roman" w:hAnsi="Calibri" w:cs="Calibri"/>
        <w:color w:val="000000"/>
        <w:sz w:val="24"/>
        <w:szCs w:val="24"/>
      </w:rPr>
      <w:t>1-888-732-6729</w:t>
    </w:r>
    <w:proofErr w:type="gramStart"/>
    <w:r w:rsidRPr="0043224F">
      <w:rPr>
        <w:rFonts w:ascii="Calibri" w:eastAsia="Times New Roman" w:hAnsi="Calibri" w:cs="Calibri"/>
        <w:color w:val="000000"/>
        <w:sz w:val="24"/>
        <w:szCs w:val="24"/>
      </w:rPr>
      <w:t>  (</w:t>
    </w:r>
    <w:proofErr w:type="gramEnd"/>
    <w:r w:rsidRPr="0043224F">
      <w:rPr>
        <w:rFonts w:ascii="Calibri" w:eastAsia="Times New Roman" w:hAnsi="Calibri" w:cs="Calibri"/>
        <w:color w:val="000000"/>
        <w:sz w:val="24"/>
        <w:szCs w:val="24"/>
      </w:rPr>
      <w:t>1-888-SEAMSAX)</w:t>
    </w:r>
  </w:p>
  <w:p w14:paraId="4D1E4CD7" w14:textId="77777777" w:rsidR="000F2D94" w:rsidRPr="001B76A1" w:rsidRDefault="00924452" w:rsidP="000F2D94">
    <w:pPr>
      <w:spacing w:after="0" w:line="240" w:lineRule="auto"/>
      <w:jc w:val="center"/>
      <w:rPr>
        <w:rFonts w:ascii="Calibri" w:eastAsia="Times New Roman" w:hAnsi="Calibri" w:cs="Calibri"/>
      </w:rPr>
    </w:pPr>
    <w:hyperlink r:id="rId2" w:tgtFrame="_blank" w:tooltip="Protected by Outlook: http://www.seamsax.com/. Click or tap to follow the link." w:history="1">
      <w:r w:rsidR="000F2D94" w:rsidRPr="001B76A1">
        <w:rPr>
          <w:rFonts w:ascii="Calibri" w:eastAsia="Times New Roman" w:hAnsi="Calibri" w:cs="Calibri"/>
          <w:sz w:val="24"/>
          <w:szCs w:val="24"/>
        </w:rPr>
        <w:t>www.seamsax.com</w:t>
      </w:r>
    </w:hyperlink>
  </w:p>
  <w:p w14:paraId="3FBBD6A7" w14:textId="77777777" w:rsidR="000F2D94" w:rsidRDefault="000F2D9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859FAC" w14:textId="77777777" w:rsidR="00924452" w:rsidRDefault="00924452" w:rsidP="00723CD3">
      <w:pPr>
        <w:spacing w:after="0" w:line="240" w:lineRule="auto"/>
      </w:pPr>
      <w:r>
        <w:separator/>
      </w:r>
    </w:p>
  </w:footnote>
  <w:footnote w:type="continuationSeparator" w:id="0">
    <w:p w14:paraId="37450C48" w14:textId="77777777" w:rsidR="00924452" w:rsidRDefault="00924452" w:rsidP="00723C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27ED4B" w14:textId="77777777" w:rsidR="00723CD3" w:rsidRPr="0043224F" w:rsidRDefault="00723CD3" w:rsidP="00723CD3">
    <w:pPr>
      <w:spacing w:after="0" w:line="240" w:lineRule="auto"/>
      <w:jc w:val="center"/>
      <w:rPr>
        <w:rFonts w:ascii="Calibri" w:eastAsia="Times New Roman" w:hAnsi="Calibri" w:cs="Calibri"/>
      </w:rPr>
    </w:pPr>
    <w:r>
      <w:t xml:space="preserve">                                                                    </w:t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75"/>
      <w:gridCol w:w="4675"/>
    </w:tblGrid>
    <w:tr w:rsidR="00C24124" w:rsidRPr="00C24124" w14:paraId="2770C612" w14:textId="77777777" w:rsidTr="00360622">
      <w:tc>
        <w:tcPr>
          <w:tcW w:w="4675" w:type="dxa"/>
        </w:tcPr>
        <w:p w14:paraId="17C75F71" w14:textId="77777777" w:rsidR="00723CD3" w:rsidRDefault="00723CD3" w:rsidP="00723CD3">
          <w:pPr>
            <w:rPr>
              <w:rFonts w:ascii="Calibri" w:eastAsia="Times New Roman" w:hAnsi="Calibri" w:cs="Calibri"/>
            </w:rPr>
          </w:pPr>
          <w:r w:rsidRPr="005C2B97">
            <w:rPr>
              <w:noProof/>
            </w:rPr>
            <w:drawing>
              <wp:inline distT="0" distB="0" distL="0" distR="0" wp14:anchorId="2C6B6C11" wp14:editId="301DA59D">
                <wp:extent cx="1592317" cy="273750"/>
                <wp:effectExtent l="0" t="0" r="8255" b="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06089" cy="3964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75" w:type="dxa"/>
        </w:tcPr>
        <w:p w14:paraId="56A53C01" w14:textId="77777777" w:rsidR="00723CD3" w:rsidRPr="00C24124" w:rsidRDefault="00723CD3" w:rsidP="00723CD3">
          <w:pPr>
            <w:jc w:val="right"/>
            <w:rPr>
              <w:rFonts w:ascii="Calibri" w:eastAsia="Times New Roman" w:hAnsi="Calibri" w:cs="Calibri"/>
            </w:rPr>
          </w:pPr>
          <w:r w:rsidRPr="00C24124">
            <w:rPr>
              <w:rFonts w:ascii="Calibri" w:eastAsia="Times New Roman" w:hAnsi="Calibri" w:cs="Calibri"/>
              <w:sz w:val="24"/>
              <w:szCs w:val="24"/>
            </w:rPr>
            <w:t xml:space="preserve">Tel. 1-888-SEAMSAX </w:t>
          </w:r>
          <w:r w:rsidRPr="00C24124">
            <w:rPr>
              <w:rFonts w:ascii="Calibri" w:eastAsia="Times New Roman" w:hAnsi="Calibri" w:cs="Calibri"/>
              <w:sz w:val="24"/>
              <w:szCs w:val="24"/>
            </w:rPr>
            <w:br/>
          </w:r>
          <w:r w:rsidRPr="001B76A1">
            <w:rPr>
              <w:rFonts w:ascii="Calibri" w:eastAsia="Times New Roman" w:hAnsi="Calibri" w:cs="Calibri"/>
              <w:sz w:val="24"/>
              <w:szCs w:val="24"/>
            </w:rPr>
            <w:t>www.seamsax.com</w:t>
          </w:r>
        </w:p>
        <w:p w14:paraId="1BFBD6EB" w14:textId="77777777" w:rsidR="00723CD3" w:rsidRPr="00C24124" w:rsidRDefault="00723CD3" w:rsidP="00723CD3">
          <w:pPr>
            <w:jc w:val="center"/>
            <w:rPr>
              <w:rFonts w:ascii="Calibri" w:eastAsia="Times New Roman" w:hAnsi="Calibri" w:cs="Calibri"/>
            </w:rPr>
          </w:pPr>
        </w:p>
      </w:tc>
    </w:tr>
  </w:tbl>
  <w:p w14:paraId="0F3AC97A" w14:textId="77777777" w:rsidR="00723CD3" w:rsidRDefault="00723CD3" w:rsidP="000F2D9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C479C0"/>
    <w:multiLevelType w:val="hybridMultilevel"/>
    <w:tmpl w:val="EDE03B10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0002FB"/>
    <w:multiLevelType w:val="hybridMultilevel"/>
    <w:tmpl w:val="86222AD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0A3E11"/>
    <w:multiLevelType w:val="hybridMultilevel"/>
    <w:tmpl w:val="BEE0419C"/>
    <w:lvl w:ilvl="0" w:tplc="10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209"/>
    <w:rsid w:val="000D005B"/>
    <w:rsid w:val="000F2D94"/>
    <w:rsid w:val="001B76A1"/>
    <w:rsid w:val="003339CF"/>
    <w:rsid w:val="00336C33"/>
    <w:rsid w:val="00345EB3"/>
    <w:rsid w:val="004648BF"/>
    <w:rsid w:val="00504F97"/>
    <w:rsid w:val="005A0209"/>
    <w:rsid w:val="005B1A44"/>
    <w:rsid w:val="006442C1"/>
    <w:rsid w:val="00723CD3"/>
    <w:rsid w:val="008958D6"/>
    <w:rsid w:val="00924452"/>
    <w:rsid w:val="00A85DAD"/>
    <w:rsid w:val="00AD60AA"/>
    <w:rsid w:val="00B01F17"/>
    <w:rsid w:val="00BD74B9"/>
    <w:rsid w:val="00C24124"/>
    <w:rsid w:val="00C85844"/>
    <w:rsid w:val="00CA6305"/>
    <w:rsid w:val="00DF499F"/>
    <w:rsid w:val="00E55B9B"/>
    <w:rsid w:val="00F712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C5BABE"/>
  <w15:chartTrackingRefBased/>
  <w15:docId w15:val="{AF135C2F-EB12-4C29-9AD3-D71F4E9A57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CA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A020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85DAD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A85DAD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23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3CD3"/>
  </w:style>
  <w:style w:type="paragraph" w:styleId="Footer">
    <w:name w:val="footer"/>
    <w:basedOn w:val="Normal"/>
    <w:link w:val="FooterChar"/>
    <w:uiPriority w:val="99"/>
    <w:unhideWhenUsed/>
    <w:rsid w:val="00723CD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3CD3"/>
  </w:style>
  <w:style w:type="table" w:styleId="TableGrid">
    <w:name w:val="Table Grid"/>
    <w:basedOn w:val="TableNormal"/>
    <w:uiPriority w:val="39"/>
    <w:rsid w:val="00723C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eamsax.co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seamsax.com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s://jpn01.safelinks.protection.outlook.com/?url=http%3A%2F%2Fwww.seamsax.com%2F&amp;data=05%7C01%7C%7C82e26f4b5ffd4a64ee5a08db6ebe33d4%7C84df9e7fe9f640afb435aaaaaaaaaaaa%7C1%7C0%7C638225535451518922%7CUnknown%7CTWFpbGZsb3d8eyJWIjoiMC4wLjAwMDAiLCJQIjoiV2luMzIiLCJBTiI6Ik1haWwiLCJXVCI6Mn0%3D%7C3000%7C%7C%7C&amp;sdata=qKpT8VmC6VlPuCDLeilyJbMbyjbREot6EXAdG26ciBs%3D&amp;reserved=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228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</dc:creator>
  <cp:keywords/>
  <dc:description/>
  <cp:lastModifiedBy>Nick</cp:lastModifiedBy>
  <cp:revision>12</cp:revision>
  <dcterms:created xsi:type="dcterms:W3CDTF">2023-07-13T01:48:00Z</dcterms:created>
  <dcterms:modified xsi:type="dcterms:W3CDTF">2023-07-14T21:21:00Z</dcterms:modified>
</cp:coreProperties>
</file>